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Otto Aviation Selects Garmin Avionics System for Phantom 3500 Flight Test Campaign</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i w:val="1"/>
          <w:rtl w:val="0"/>
        </w:rPr>
        <w:t xml:space="preserve">The collaboration reflects Otto’s strategy of working with forward-looking suppliers who bring experience, reliability, and technical agility to the table.</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PARIS, June </w:t>
      </w:r>
      <w:r w:rsidDel="00000000" w:rsidR="00000000" w:rsidRPr="00000000">
        <w:rPr>
          <w:b w:val="1"/>
          <w:rtl w:val="0"/>
        </w:rPr>
        <w:t xml:space="preserve">17, 2025</w:t>
      </w:r>
      <w:r w:rsidDel="00000000" w:rsidR="00000000" w:rsidRPr="00000000">
        <w:rPr>
          <w:rtl w:val="0"/>
        </w:rPr>
        <w:t xml:space="preserve"> — Otto Aviation, a pioneering force in sustainable aviation, has announced the selection of the Garmin G700 TXi</w:t>
      </w:r>
      <w:r w:rsidDel="00000000" w:rsidR="00000000" w:rsidRPr="00000000">
        <w:rPr>
          <w:vertAlign w:val="superscript"/>
          <w:rtl w:val="0"/>
        </w:rPr>
        <w:t xml:space="preserve">™</w:t>
      </w:r>
      <w:r w:rsidDel="00000000" w:rsidR="00000000" w:rsidRPr="00000000">
        <w:rPr>
          <w:rtl w:val="0"/>
        </w:rPr>
        <w:t xml:space="preserve"> flight display to equip its initial Phantom 3500 flight test vehicle, marking a key development milestone as the company moves closer to first flight and FAA certification of its next-generation aircraft. The company plans to begin flight tests in early 2027 and aims to achieve certification and enter service in 2030.</w:t>
      </w:r>
    </w:p>
    <w:p w:rsidR="00000000" w:rsidDel="00000000" w:rsidP="00000000" w:rsidRDefault="00000000" w:rsidRPr="00000000" w14:paraId="0000000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2947988</wp:posOffset>
            </wp:positionH>
            <wp:positionV relativeFrom="paragraph">
              <wp:posOffset>228600</wp:posOffset>
            </wp:positionV>
            <wp:extent cx="2995613" cy="1678656"/>
            <wp:effectExtent b="0" l="0" r="0" t="0"/>
            <wp:wrapSquare wrapText="bothSides" distB="114300" distT="114300" distL="114300" distR="114300"/>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995613" cy="1678656"/>
                    </a:xfrm>
                    <a:prstGeom prst="rect"/>
                    <a:ln/>
                  </pic:spPr>
                </pic:pic>
              </a:graphicData>
            </a:graphic>
          </wp:anchor>
        </w:drawing>
      </w:r>
    </w:p>
    <w:p w:rsidR="00000000" w:rsidDel="00000000" w:rsidP="00000000" w:rsidRDefault="00000000" w:rsidRPr="00000000" w14:paraId="00000007">
      <w:pPr>
        <w:rPr/>
      </w:pPr>
      <w:r w:rsidDel="00000000" w:rsidR="00000000" w:rsidRPr="00000000">
        <w:rPr>
          <w:rtl w:val="0"/>
        </w:rPr>
        <w:t xml:space="preserve">Purpose-built for demanding precision of experimental and certification programs, the G700 TXi was selected for its configurable architecture, robust real-time data acquisition capabilities, and its ability to seamlessly integrate with the Phantom 3500’s advanced digital systems.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“Flight testing is a pivotal phase in any aircraft program, and the G700 TXi gives us the precision, flexibility, and situational awareness we need to execute a rigorous and data-rich campaign,” said Scott Drennan, COO of Otto Aviation. “Garmin’s technology aligns perfectly with our system architecture and development philosophy.”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Flight Test-Ready Avionics for an Innovative Aircraft</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G700 TXi system supports Otto Aviation’s mission to develop the Phantom 3500 as a high-efficiency, long-range aircraft with a radically aerodynamic design. In the initial flight test environment, the system provides: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b w:val="1"/>
          <w:color w:val="000000"/>
          <w:rtl w:val="0"/>
        </w:rPr>
        <w:t xml:space="preserve">Real-</w:t>
      </w:r>
      <w:r w:rsidDel="00000000" w:rsidR="00000000" w:rsidRPr="00000000">
        <w:rPr>
          <w:b w:val="1"/>
          <w:rtl w:val="0"/>
        </w:rPr>
        <w:t xml:space="preserve">t</w:t>
      </w:r>
      <w:r w:rsidDel="00000000" w:rsidR="00000000" w:rsidRPr="00000000">
        <w:rPr>
          <w:b w:val="1"/>
          <w:color w:val="000000"/>
          <w:rtl w:val="0"/>
        </w:rPr>
        <w:t xml:space="preserve">ime </w:t>
      </w:r>
      <w:r w:rsidDel="00000000" w:rsidR="00000000" w:rsidRPr="00000000">
        <w:rPr>
          <w:b w:val="1"/>
          <w:rtl w:val="0"/>
        </w:rPr>
        <w:t xml:space="preserve">t</w:t>
      </w:r>
      <w:r w:rsidDel="00000000" w:rsidR="00000000" w:rsidRPr="00000000">
        <w:rPr>
          <w:b w:val="1"/>
          <w:color w:val="000000"/>
          <w:rtl w:val="0"/>
        </w:rPr>
        <w:t xml:space="preserve">elemetry and </w:t>
      </w:r>
      <w:r w:rsidDel="00000000" w:rsidR="00000000" w:rsidRPr="00000000">
        <w:rPr>
          <w:b w:val="1"/>
          <w:rtl w:val="0"/>
        </w:rPr>
        <w:t xml:space="preserve">d</w:t>
      </w:r>
      <w:r w:rsidDel="00000000" w:rsidR="00000000" w:rsidRPr="00000000">
        <w:rPr>
          <w:b w:val="1"/>
          <w:color w:val="000000"/>
          <w:rtl w:val="0"/>
        </w:rPr>
        <w:t xml:space="preserve">ata </w:t>
      </w:r>
      <w:r w:rsidDel="00000000" w:rsidR="00000000" w:rsidRPr="00000000">
        <w:rPr>
          <w:b w:val="1"/>
          <w:rtl w:val="0"/>
        </w:rPr>
        <w:t xml:space="preserve">l</w:t>
      </w:r>
      <w:r w:rsidDel="00000000" w:rsidR="00000000" w:rsidRPr="00000000">
        <w:rPr>
          <w:b w:val="1"/>
          <w:color w:val="000000"/>
          <w:rtl w:val="0"/>
        </w:rPr>
        <w:t xml:space="preserve">ogging:</w:t>
      </w:r>
      <w:r w:rsidDel="00000000" w:rsidR="00000000" w:rsidRPr="00000000">
        <w:rPr>
          <w:color w:val="000000"/>
          <w:rtl w:val="0"/>
        </w:rPr>
        <w:t xml:space="preserve"> </w:t>
      </w:r>
      <w:r w:rsidDel="00000000" w:rsidR="00000000" w:rsidRPr="00000000">
        <w:rPr>
          <w:rtl w:val="0"/>
        </w:rPr>
        <w:t xml:space="preserve">e</w:t>
      </w:r>
      <w:r w:rsidDel="00000000" w:rsidR="00000000" w:rsidRPr="00000000">
        <w:rPr>
          <w:color w:val="000000"/>
          <w:rtl w:val="0"/>
        </w:rPr>
        <w:t xml:space="preserve">ssential for monitoring and analyzing aerodynamic performance, propulsion, and system behaviors during flight.</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b w:val="1"/>
          <w:color w:val="000000"/>
          <w:rtl w:val="0"/>
        </w:rPr>
        <w:t xml:space="preserve">Customizable </w:t>
      </w:r>
      <w:r w:rsidDel="00000000" w:rsidR="00000000" w:rsidRPr="00000000">
        <w:rPr>
          <w:b w:val="1"/>
          <w:rtl w:val="0"/>
        </w:rPr>
        <w:t xml:space="preserve">d</w:t>
      </w:r>
      <w:r w:rsidDel="00000000" w:rsidR="00000000" w:rsidRPr="00000000">
        <w:rPr>
          <w:b w:val="1"/>
          <w:color w:val="000000"/>
          <w:rtl w:val="0"/>
        </w:rPr>
        <w:t xml:space="preserve">isplay </w:t>
      </w:r>
      <w:r w:rsidDel="00000000" w:rsidR="00000000" w:rsidRPr="00000000">
        <w:rPr>
          <w:b w:val="1"/>
          <w:rtl w:val="0"/>
        </w:rPr>
        <w:t xml:space="preserve">i</w:t>
      </w:r>
      <w:r w:rsidDel="00000000" w:rsidR="00000000" w:rsidRPr="00000000">
        <w:rPr>
          <w:b w:val="1"/>
          <w:color w:val="000000"/>
          <w:rtl w:val="0"/>
        </w:rPr>
        <w:t xml:space="preserve">nterfaces</w:t>
      </w:r>
      <w:r w:rsidDel="00000000" w:rsidR="00000000" w:rsidRPr="00000000">
        <w:rPr>
          <w:color w:val="000000"/>
          <w:rtl w:val="0"/>
        </w:rPr>
        <w:t xml:space="preserve">: </w:t>
      </w:r>
      <w:r w:rsidDel="00000000" w:rsidR="00000000" w:rsidRPr="00000000">
        <w:rPr>
          <w:rtl w:val="0"/>
        </w:rPr>
        <w:t xml:space="preserve">t</w:t>
      </w:r>
      <w:r w:rsidDel="00000000" w:rsidR="00000000" w:rsidRPr="00000000">
        <w:rPr>
          <w:color w:val="000000"/>
          <w:rtl w:val="0"/>
        </w:rPr>
        <w:t xml:space="preserve">ailored for test pilot operations, with synthetic vision</w:t>
      </w:r>
      <w:r w:rsidDel="00000000" w:rsidR="00000000" w:rsidRPr="00000000">
        <w:rPr>
          <w:rtl w:val="0"/>
        </w:rPr>
        <w:t xml:space="preserve">.</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b w:val="1"/>
          <w:color w:val="000000"/>
          <w:rtl w:val="0"/>
        </w:rPr>
        <w:t xml:space="preserve">Streamlined </w:t>
      </w:r>
      <w:r w:rsidDel="00000000" w:rsidR="00000000" w:rsidRPr="00000000">
        <w:rPr>
          <w:b w:val="1"/>
          <w:rtl w:val="0"/>
        </w:rPr>
        <w:t xml:space="preserve">i</w:t>
      </w:r>
      <w:r w:rsidDel="00000000" w:rsidR="00000000" w:rsidRPr="00000000">
        <w:rPr>
          <w:b w:val="1"/>
          <w:color w:val="000000"/>
          <w:rtl w:val="0"/>
        </w:rPr>
        <w:t xml:space="preserve">ntegration:</w:t>
      </w:r>
      <w:r w:rsidDel="00000000" w:rsidR="00000000" w:rsidRPr="00000000">
        <w:rPr>
          <w:color w:val="000000"/>
          <w:rtl w:val="0"/>
        </w:rPr>
        <w:t xml:space="preserve"> </w:t>
      </w:r>
      <w:r w:rsidDel="00000000" w:rsidR="00000000" w:rsidRPr="00000000">
        <w:rPr>
          <w:rtl w:val="0"/>
        </w:rPr>
        <w:t xml:space="preserve">d</w:t>
      </w:r>
      <w:r w:rsidDel="00000000" w:rsidR="00000000" w:rsidRPr="00000000">
        <w:rPr>
          <w:color w:val="000000"/>
          <w:rtl w:val="0"/>
        </w:rPr>
        <w:t xml:space="preserve">esigned for modularity and interoperability, enabling fast deployment and efficient interfacing with other aircraft systems</w:t>
      </w:r>
      <w:r w:rsidDel="00000000" w:rsidR="00000000" w:rsidRPr="00000000">
        <w:rPr>
          <w:rtl w:val="0"/>
        </w:rPr>
        <w:t xml:space="preserve">.</w:t>
      </w:r>
    </w:p>
    <w:p w:rsidR="00000000" w:rsidDel="00000000" w:rsidP="00000000" w:rsidRDefault="00000000" w:rsidRPr="00000000" w14:paraId="00000012">
      <w:pPr>
        <w:numPr>
          <w:ilvl w:val="0"/>
          <w:numId w:val="2"/>
        </w:numPr>
        <w:spacing w:after="160" w:line="278.00000000000006" w:lineRule="auto"/>
        <w:ind w:left="720" w:hanging="360"/>
        <w:rPr/>
      </w:pPr>
      <w:r w:rsidDel="00000000" w:rsidR="00000000" w:rsidRPr="00000000">
        <w:rPr>
          <w:b w:val="1"/>
          <w:rtl w:val="0"/>
        </w:rPr>
        <w:t xml:space="preserve">Trusted performance: </w:t>
      </w:r>
      <w:r w:rsidDel="00000000" w:rsidR="00000000" w:rsidRPr="00000000">
        <w:rPr>
          <w:rtl w:val="0"/>
        </w:rPr>
        <w:t xml:space="preserve">the G700 TXi has been successfully deployed in multiple experimental and certification programs, offering a proven track record in demanding development environments.</w:t>
      </w:r>
    </w:p>
    <w:p w:rsidR="00000000" w:rsidDel="00000000" w:rsidP="00000000" w:rsidRDefault="00000000" w:rsidRPr="00000000" w14:paraId="00000013">
      <w:pPr>
        <w:rPr/>
      </w:pPr>
      <w:r w:rsidDel="00000000" w:rsidR="00000000" w:rsidRPr="00000000">
        <w:rPr>
          <w:b w:val="1"/>
          <w:rtl w:val="0"/>
        </w:rPr>
        <w:t xml:space="preserve">Designed for Scalability and System Growth</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G700 TXi enables reconfiguration as flight test requirements evolve. This makes the system particularly well-suited for a dynamic and iterative test program like Otto Aviation’s. The avionics decision enables Otto Aviation to lock in the final FTV configuration, supporting upcoming taxi trials, systems verification, and initial flight readiness as the company targets first flight in the coming months.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A Shared Commitment to Innovation and Flight Safety</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This collaboration reflects Otto Aviation’s strategy of working with forward-looking suppliers who bring experience, reliability, and technical agility to the table. Garmin’s track record in experimental aviation and certification support ensures that the G700 TXi will be a critical enabler as Otto Aviation enters a new phase of program execution.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About Otto</w:t>
      </w:r>
      <w:r w:rsidDel="00000000" w:rsidR="00000000" w:rsidRPr="00000000">
        <w:rPr>
          <w:rtl w:val="0"/>
        </w:rPr>
        <w:br w:type="textWrapping"/>
        <w:t xml:space="preserve">Otto Aviation is an advanced aerospace company committed to transforming private and regional aviation through innovative aircraft design. Headquartered in Fort Worth, Texas, Otto is developing the </w:t>
      </w:r>
      <w:r w:rsidDel="00000000" w:rsidR="00000000" w:rsidRPr="00000000">
        <w:rPr>
          <w:i w:val="1"/>
          <w:rtl w:val="0"/>
        </w:rPr>
        <w:t xml:space="preserve">Phantom 3500</w:t>
      </w:r>
      <w:r w:rsidDel="00000000" w:rsidR="00000000" w:rsidRPr="00000000">
        <w:rPr>
          <w:rtl w:val="0"/>
        </w:rPr>
        <w:t xml:space="preserve">, a new, clean-sheet design aircraft that establishes – and leads – a new category in highly efficient, affordable, and sustainable business jet aviation. Learn more at </w:t>
      </w:r>
      <w:hyperlink r:id="rId8">
        <w:r w:rsidDel="00000000" w:rsidR="00000000" w:rsidRPr="00000000">
          <w:rPr>
            <w:color w:val="1155cc"/>
            <w:u w:val="single"/>
            <w:rtl w:val="0"/>
          </w:rPr>
          <w:t xml:space="preserve">ottoaviation.com</w:t>
        </w:r>
      </w:hyperlink>
      <w:r w:rsidDel="00000000" w:rsidR="00000000" w:rsidRPr="00000000">
        <w:rPr>
          <w:rtl w:val="0"/>
        </w:rPr>
        <w:t xml:space="preserve">.</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About Garmin</w:t>
      </w:r>
    </w:p>
    <w:p w:rsidR="00000000" w:rsidDel="00000000" w:rsidP="00000000" w:rsidRDefault="00000000" w:rsidRPr="00000000" w14:paraId="0000001F">
      <w:pPr>
        <w:rPr>
          <w:highlight w:val="yellow"/>
        </w:rPr>
      </w:pPr>
      <w:r w:rsidDel="00000000" w:rsidR="00000000" w:rsidRPr="00000000">
        <w:rPr>
          <w:color w:val="000000"/>
          <w:rtl w:val="0"/>
        </w:rPr>
        <w:t xml:space="preserve">Garmin products and services have revolutionized flight and become essential to the lives of pilots and aircraft owners and operators around the world. A leading provider of solutions to general aviation, business aviation, rotorcraft, advanced air mobility, government and defense, and commercial air carrier customers, Garmin believes every day is an opportunity to innovate. Recipient of the prestigious </w:t>
      </w:r>
      <w:hyperlink r:id="rId9">
        <w:r w:rsidDel="00000000" w:rsidR="00000000" w:rsidRPr="00000000">
          <w:rPr>
            <w:color w:val="467886"/>
            <w:u w:val="single"/>
            <w:rtl w:val="0"/>
          </w:rPr>
          <w:t xml:space="preserve">Robert J. Collier Trophy for Garmin Autoland</w:t>
        </w:r>
      </w:hyperlink>
      <w:r w:rsidDel="00000000" w:rsidR="00000000" w:rsidRPr="00000000">
        <w:rPr>
          <w:color w:val="000000"/>
          <w:rtl w:val="0"/>
        </w:rPr>
        <w:t xml:space="preserve">, Garmin developed the world’s first certified autonomous system that activates during an emergency to control and land an aircraft without human intervention.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sectPr>
          <w:headerReference r:id="rId10" w:type="default"/>
          <w:footerReference r:id="rId11"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For media inquiries, please contact:</w:t>
        <w:br w:type="textWrapping"/>
        <w:t xml:space="preserve">Scott Worden</w:t>
      </w:r>
    </w:p>
    <w:p w:rsidR="00000000" w:rsidDel="00000000" w:rsidP="00000000" w:rsidRDefault="00000000" w:rsidRPr="00000000" w14:paraId="00000023">
      <w:pPr>
        <w:rPr/>
      </w:pPr>
      <w:hyperlink r:id="rId12">
        <w:r w:rsidDel="00000000" w:rsidR="00000000" w:rsidRPr="00000000">
          <w:rPr>
            <w:color w:val="1155cc"/>
            <w:u w:val="single"/>
            <w:rtl w:val="0"/>
          </w:rPr>
          <w:t xml:space="preserve">scott.worden@llyc.global</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+1-248-825-9343</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Onsite at Paris Air Show:</w:t>
      </w:r>
    </w:p>
    <w:p w:rsidR="00000000" w:rsidDel="00000000" w:rsidP="00000000" w:rsidRDefault="00000000" w:rsidRPr="00000000" w14:paraId="00000028">
      <w:pPr>
        <w:rPr/>
      </w:pPr>
      <w:r w:rsidDel="00000000" w:rsidR="00000000" w:rsidRPr="00000000">
        <w:rPr>
          <w:rtl w:val="0"/>
        </w:rPr>
        <w:t xml:space="preserve">Josh Skalniak</w:t>
      </w:r>
    </w:p>
    <w:p w:rsidR="00000000" w:rsidDel="00000000" w:rsidP="00000000" w:rsidRDefault="00000000" w:rsidRPr="00000000" w14:paraId="00000029">
      <w:pPr>
        <w:rPr/>
      </w:pPr>
      <w:hyperlink r:id="rId13">
        <w:r w:rsidDel="00000000" w:rsidR="00000000" w:rsidRPr="00000000">
          <w:rPr>
            <w:color w:val="467886"/>
            <w:u w:val="single"/>
            <w:rtl w:val="0"/>
          </w:rPr>
          <w:t xml:space="preserve">Josh.skalniak@llyc.global</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+1-480-352-2050</w:t>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ff0000"/>
      </w:rPr>
    </w:pPr>
    <w:r w:rsidDel="00000000" w:rsidR="00000000" w:rsidRPr="00000000">
      <w:rPr>
        <w:b w:val="1"/>
      </w:rPr>
      <w:drawing>
        <wp:inline distB="114300" distT="114300" distL="114300" distR="114300">
          <wp:extent cx="3134026" cy="1190327"/>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34026" cy="119032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EA08A0"/>
  </w:style>
  <w:style w:type="paragraph" w:styleId="Heading1">
    <w:name w:val="heading 1"/>
    <w:basedOn w:val="Normal"/>
    <w:next w:val="Normal"/>
    <w:link w:val="Heading1Char"/>
    <w:uiPriority w:val="9"/>
    <w:qFormat w:val="1"/>
    <w:rsid w:val="00C07DD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C07DD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C07DD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C07DD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07DD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C07DD9"/>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07DD9"/>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07DD9"/>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07DD9"/>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C07DD9"/>
    <w:pPr>
      <w:spacing w:after="80"/>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C07D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07D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07D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07D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07D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07D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07D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07D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07DD9"/>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C07DD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C07DD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07DD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07DD9"/>
    <w:rPr>
      <w:i w:val="1"/>
      <w:iCs w:val="1"/>
      <w:color w:val="404040" w:themeColor="text1" w:themeTint="0000BF"/>
    </w:rPr>
  </w:style>
  <w:style w:type="paragraph" w:styleId="ListParagraph">
    <w:name w:val="List Paragraph"/>
    <w:basedOn w:val="Normal"/>
    <w:uiPriority w:val="34"/>
    <w:qFormat w:val="1"/>
    <w:rsid w:val="00C07DD9"/>
    <w:pPr>
      <w:ind w:left="720"/>
      <w:contextualSpacing w:val="1"/>
    </w:pPr>
  </w:style>
  <w:style w:type="character" w:styleId="IntenseEmphasis">
    <w:name w:val="Intense Emphasis"/>
    <w:basedOn w:val="DefaultParagraphFont"/>
    <w:uiPriority w:val="21"/>
    <w:qFormat w:val="1"/>
    <w:rsid w:val="00C07DD9"/>
    <w:rPr>
      <w:i w:val="1"/>
      <w:iCs w:val="1"/>
      <w:color w:val="0f4761" w:themeColor="accent1" w:themeShade="0000BF"/>
    </w:rPr>
  </w:style>
  <w:style w:type="paragraph" w:styleId="IntenseQuote">
    <w:name w:val="Intense Quote"/>
    <w:basedOn w:val="Normal"/>
    <w:next w:val="Normal"/>
    <w:link w:val="IntenseQuoteChar"/>
    <w:uiPriority w:val="30"/>
    <w:qFormat w:val="1"/>
    <w:rsid w:val="00C07DD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07DD9"/>
    <w:rPr>
      <w:i w:val="1"/>
      <w:iCs w:val="1"/>
      <w:color w:val="0f4761" w:themeColor="accent1" w:themeShade="0000BF"/>
    </w:rPr>
  </w:style>
  <w:style w:type="character" w:styleId="IntenseReference">
    <w:name w:val="Intense Reference"/>
    <w:basedOn w:val="DefaultParagraphFont"/>
    <w:uiPriority w:val="32"/>
    <w:qFormat w:val="1"/>
    <w:rsid w:val="00C07DD9"/>
    <w:rPr>
      <w:b w:val="1"/>
      <w:bCs w:val="1"/>
      <w:smallCaps w:val="1"/>
      <w:color w:val="0f4761" w:themeColor="accent1" w:themeShade="0000BF"/>
      <w:spacing w:val="5"/>
    </w:rPr>
  </w:style>
  <w:style w:type="paragraph" w:styleId="Header">
    <w:name w:val="header"/>
    <w:basedOn w:val="Normal"/>
    <w:link w:val="HeaderChar"/>
    <w:uiPriority w:val="99"/>
    <w:unhideWhenUsed w:val="1"/>
    <w:rsid w:val="00371B6C"/>
    <w:pPr>
      <w:tabs>
        <w:tab w:val="center" w:pos="4680"/>
        <w:tab w:val="right" w:pos="9360"/>
      </w:tabs>
    </w:pPr>
  </w:style>
  <w:style w:type="character" w:styleId="HeaderChar" w:customStyle="1">
    <w:name w:val="Header Char"/>
    <w:basedOn w:val="DefaultParagraphFont"/>
    <w:link w:val="Header"/>
    <w:uiPriority w:val="99"/>
    <w:rsid w:val="00371B6C"/>
  </w:style>
  <w:style w:type="paragraph" w:styleId="Footer">
    <w:name w:val="footer"/>
    <w:basedOn w:val="Normal"/>
    <w:link w:val="FooterChar"/>
    <w:uiPriority w:val="99"/>
    <w:unhideWhenUsed w:val="1"/>
    <w:rsid w:val="00371B6C"/>
    <w:pPr>
      <w:tabs>
        <w:tab w:val="center" w:pos="4680"/>
        <w:tab w:val="right" w:pos="9360"/>
      </w:tabs>
    </w:pPr>
  </w:style>
  <w:style w:type="character" w:styleId="FooterChar" w:customStyle="1">
    <w:name w:val="Footer Char"/>
    <w:basedOn w:val="DefaultParagraphFont"/>
    <w:link w:val="Footer"/>
    <w:uiPriority w:val="99"/>
    <w:rsid w:val="00371B6C"/>
  </w:style>
  <w:style w:type="paragraph" w:styleId="NormalWeb">
    <w:name w:val="Normal (Web)"/>
    <w:basedOn w:val="Normal"/>
    <w:uiPriority w:val="99"/>
    <w:semiHidden w:val="1"/>
    <w:unhideWhenUsed w:val="1"/>
    <w:rsid w:val="00DE083B"/>
    <w:rPr>
      <w:rFonts w:ascii="Times New Roman" w:cs="Times New Roman" w:hAnsi="Times New Roman"/>
    </w:rPr>
  </w:style>
  <w:style w:type="character" w:styleId="Hyperlink">
    <w:name w:val="Hyperlink"/>
    <w:basedOn w:val="DefaultParagraphFont"/>
    <w:uiPriority w:val="99"/>
    <w:unhideWhenUsed w:val="1"/>
    <w:rsid w:val="00FE4169"/>
    <w:rPr>
      <w:color w:val="467886" w:themeColor="hyperlink"/>
      <w:u w:val="single"/>
    </w:rPr>
  </w:style>
  <w:style w:type="character" w:styleId="UnresolvedMention">
    <w:name w:val="Unresolved Mention"/>
    <w:basedOn w:val="DefaultParagraphFont"/>
    <w:uiPriority w:val="99"/>
    <w:semiHidden w:val="1"/>
    <w:unhideWhenUsed w:val="1"/>
    <w:rsid w:val="00FE4169"/>
    <w:rPr>
      <w:color w:val="605e5c"/>
      <w:shd w:color="auto" w:fill="e1dfdd" w:val="clear"/>
    </w:rPr>
  </w:style>
  <w:style w:type="paragraph" w:styleId="Revision">
    <w:name w:val="Revision"/>
    <w:hidden w:val="1"/>
    <w:uiPriority w:val="99"/>
    <w:semiHidden w:val="1"/>
    <w:rsid w:val="00B66B72"/>
  </w:style>
  <w:style w:type="character" w:styleId="CommentReference">
    <w:name w:val="annotation reference"/>
    <w:basedOn w:val="DefaultParagraphFont"/>
    <w:uiPriority w:val="99"/>
    <w:semiHidden w:val="1"/>
    <w:unhideWhenUsed w:val="1"/>
    <w:rsid w:val="00DE32D1"/>
    <w:rPr>
      <w:sz w:val="16"/>
      <w:szCs w:val="16"/>
    </w:rPr>
  </w:style>
  <w:style w:type="paragraph" w:styleId="CommentText">
    <w:name w:val="annotation text"/>
    <w:basedOn w:val="Normal"/>
    <w:link w:val="CommentTextChar"/>
    <w:uiPriority w:val="99"/>
    <w:unhideWhenUsed w:val="1"/>
    <w:rsid w:val="00DE32D1"/>
    <w:rPr>
      <w:sz w:val="20"/>
      <w:szCs w:val="20"/>
    </w:rPr>
  </w:style>
  <w:style w:type="character" w:styleId="CommentTextChar" w:customStyle="1">
    <w:name w:val="Comment Text Char"/>
    <w:basedOn w:val="DefaultParagraphFont"/>
    <w:link w:val="CommentText"/>
    <w:uiPriority w:val="99"/>
    <w:rsid w:val="00DE32D1"/>
    <w:rPr>
      <w:sz w:val="20"/>
      <w:szCs w:val="20"/>
    </w:rPr>
  </w:style>
  <w:style w:type="paragraph" w:styleId="CommentSubject">
    <w:name w:val="annotation subject"/>
    <w:basedOn w:val="CommentText"/>
    <w:next w:val="CommentText"/>
    <w:link w:val="CommentSubjectChar"/>
    <w:uiPriority w:val="99"/>
    <w:semiHidden w:val="1"/>
    <w:unhideWhenUsed w:val="1"/>
    <w:rsid w:val="00DE32D1"/>
    <w:rPr>
      <w:b w:val="1"/>
      <w:bCs w:val="1"/>
    </w:rPr>
  </w:style>
  <w:style w:type="character" w:styleId="CommentSubjectChar" w:customStyle="1">
    <w:name w:val="Comment Subject Char"/>
    <w:basedOn w:val="CommentTextChar"/>
    <w:link w:val="CommentSubject"/>
    <w:uiPriority w:val="99"/>
    <w:semiHidden w:val="1"/>
    <w:rsid w:val="00DE32D1"/>
    <w:rPr>
      <w:b w:val="1"/>
      <w:bCs w:val="1"/>
      <w:sz w:val="20"/>
      <w:szCs w:val="20"/>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hyperlink" Target="mailto:Josh.skalniak@llyc.global" TargetMode="External"/><Relationship Id="rId12" Type="http://schemas.openxmlformats.org/officeDocument/2006/relationships/hyperlink" Target="mailto:scott.worden@llyc.glob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armin.com/en-US/newsroom/press-release/aviation/garmin-autoland-wins-prestigious-robert-j-collier-troph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ottoaviatio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usfBBXd3ZkG63yuiw+bdmLPHkg==">CgMxLjA4AGohChRzdWdnZXN0LjUyZGY5Y21rN3pvZhIJQW5vbnltb3VzaiEKFHN1Z2dlc3QuYm1pZDg3OWl3bDR6EglBbm9ueW1vdXNyITF1R1RrZTZKa1dNdEtqYmN5YVZUQWlYLTQ4NUJQaEk2Mg==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2025-06-12T17:12:00Z</dcterms:created>
  <dc:creator>Adam Slepian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ff6d80-3782-4df6-bf6c-659f84558040_Enabled">
    <vt:lpwstr>true</vt:lpwstr>
  </property>
  <property fmtid="{D5CDD505-2E9C-101B-9397-08002B2CF9AE}" pid="3" name="MSIP_Label_f3ff6d80-3782-4df6-bf6c-659f84558040_SetDate">
    <vt:lpwstr>2025-06-09T22:05:22Z</vt:lpwstr>
  </property>
  <property fmtid="{D5CDD505-2E9C-101B-9397-08002B2CF9AE}" pid="4" name="MSIP_Label_f3ff6d80-3782-4df6-bf6c-659f84558040_Method">
    <vt:lpwstr>Standard</vt:lpwstr>
  </property>
  <property fmtid="{D5CDD505-2E9C-101B-9397-08002B2CF9AE}" pid="5" name="MSIP_Label_f3ff6d80-3782-4df6-bf6c-659f84558040_Name">
    <vt:lpwstr>f3ff6d80-3782-4df6-bf6c-659f84558040</vt:lpwstr>
  </property>
  <property fmtid="{D5CDD505-2E9C-101B-9397-08002B2CF9AE}" pid="6" name="MSIP_Label_f3ff6d80-3782-4df6-bf6c-659f84558040_SiteId">
    <vt:lpwstr>38d0d425-ba52-4c0a-a03e-2a65c8e82e2d</vt:lpwstr>
  </property>
  <property fmtid="{D5CDD505-2E9C-101B-9397-08002B2CF9AE}" pid="7" name="MSIP_Label_f3ff6d80-3782-4df6-bf6c-659f84558040_ActionId">
    <vt:lpwstr>69cff79e-9827-4b01-9d5b-cb8417355655</vt:lpwstr>
  </property>
  <property fmtid="{D5CDD505-2E9C-101B-9397-08002B2CF9AE}" pid="8" name="MSIP_Label_f3ff6d80-3782-4df6-bf6c-659f84558040_ContentBits">
    <vt:lpwstr>0</vt:lpwstr>
  </property>
  <property fmtid="{D5CDD505-2E9C-101B-9397-08002B2CF9AE}" pid="9" name="MSIP_Label_f3ff6d80-3782-4df6-bf6c-659f84558040_Tag">
    <vt:lpwstr>10, 3, 0, 1</vt:lpwstr>
  </property>
</Properties>
</file>